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364</w:t>
      </w:r>
    </w:p>
    <w:p>
      <w:r>
        <w:t>Bundesgericht (BGE), 1995-09-19, FR</w:t>
      </w:r>
    </w:p>
    <w:p>
      <w:r>
        <w:rPr>
          <w:b/>
        </w:rPr>
        <w:t xml:space="preserve">Quelle: </w:t>
      </w:r>
      <w:r>
        <w:t>https://mcp.opencaselaw.ch/entscheid/bge_121 III 364</w:t>
      </w:r>
    </w:p>
    <w:p>
      <w:r>
        <w:t>FR: ATF 121 III 364</w:t>
      </w:r>
    </w:p>
    <w:p>
      <w:r>
        <w:t>IT: DTF 121 III 364</w:t>
      </w:r>
    </w:p>
    <w:p>
      <w:pPr>
        <w:pStyle w:val="Heading2"/>
      </w:pPr>
      <w:r>
        <w:t>Regeste</w:t>
      </w:r>
    </w:p>
    <w:p>
      <w:r>
        <w:t>Regeste Gesuch um Herabsetzung des Anfangsmietzinses (Art. 270 OR). Wird die Erhöhung des Anfangsmietzinses, wofür das kantonale Recht die Verwendung des amtlichen Formulars vorschreibt, im Vergleich zum vorhergehenden Mietzins einzig mit Faktoren der relativen Methode begründet, und verlangt der Mieter nicht die Anwendung der absoluten Methode, so hat die Überprüfung des Anfangsmietzinses mittels der relativen Methode zu erfolgen.</w:t>
      </w:r>
    </w:p>
    <w:p>
      <w:pPr>
        <w:pStyle w:val="Heading2"/>
      </w:pPr>
      <w:r>
        <w:t>Erwägungen</w:t>
      </w:r>
    </w:p>
    <w:p>
      <w:r>
        <w:rPr>
          <w:b/>
        </w:rPr>
        <w:t>E. 4</w:t>
      </w:r>
    </w:p>
    <w:p>
      <w:r>
        <w:t>a) La défenderesse fait grief à la Chambre d'appel d'avoir jugé abusif le loyer litigieux. Elle lui reproche, en substance, d'avoir méconnu la jurisprudence fédérale en matière de contestation du loyer initial, en refusant d'appliquer la méthode absolue - plus précisément le critère des loyers usuels du quartier, s'agissant d'un immeuble ancien - pour vérifier si ce loyer était abusif. A son avis, la comparaison entre le loyer en BGE 121 III 364 S. 366 cause et les loyers pratiqués dans le même immeuble ou dans le quartier suffirait à démontrer l'absence de tout abus de sa part dans la fixation du loyer initial réclamé au demandeur. b) En cas de pénurie de logements, les cantons peuvent rendre obligatoire, sur tout ou partie de leur territoire, l'usage de la formule officielle mentionnée à l' art. 269d CO pour la conclusion de tout nouveau bail ( art. 270 al. 2 CO ). C'est ce qu'a fait le canton de Genève en adoptant l'art. 94B de la loi d'application du Code civil et du Code des obligations (LACC; à ce sujet, cf. l' ATF 117 Ia 328 ). En pareille hypothèse, ladite formule doit contenir, entre autres indications, le montant de l'ancien loyer et les motifs précis de la hausse, conformément à l' art. 19 al. 1 let. a OBLF (RS 221.213.11) applicable par analogie en vertu de l' art. 19 al. 3 OBLF . Selon la jurisprudence du Tribunal fédéral, les raisons avancées pour justifier le respect strict des règles de forme en matière de majoration de loyer en cours de bail sont également valables lors du changement de locataire. Dans un cas comme dans l'autre,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 ATF 121 III 56 consid. 2c, ATF 120 II 341 consid. 5b et les arrêts cités). Cet objectif ne pourrait pas être atteint si le bailleur n'était pas lié par les motifs invoqués à l'appui d'une majoration de loyer. En effet, le locataire qui contesterait judiciairement la fixation du loyer initial ou une majoration de loyer subséquente risquerait alors de succomber, quand bien même les facteurs de hausse mentionnés dans la formule officielle ne justifieraient pas l'augmentation de loyer contestée, du seul fait que le bailleur aurait invoqué devant le juge un motif valable qu'il avait tu jusque-là. Aussi le Tribunal fédéral a-t-il posé, en conformité avec le principe de la bonne foi, qu'il est exclu d'invoquer après coup, en cours d'instance, d'autres motifs de hausse que ceux qui figurent dans l'avis de majoration ( ATF 117 II 452 consid. 5 p. 457). Sans doute cette règle n'est-elle pas absolue, comme le soutient à juste titre la défenderesse en se fondant sur l' ATF 112 II 149 consid. 3d p. 155. Effectivement, le juge qui retient l'existence d'indices d'abus peut y déroger et déterminer si le rendement de la chose louée est excessif en utilisant tous les critères juridiques déterminants à cet égard dans le cadre de son obligation d'appliquer d'office le droit fédéral. Mais si, dans la cause ayant donné lieu à cet arrêt, la cour BGE 121 III 364 S. 367 cantonale avait relevé des indices d'abus (consid. 1c), rien de tel n'a été constaté dans la présente espèce où le locataire n'a du reste jamais prétendu que le loyer payé par son prédécesseur était déjà abusif. De fait, dans son jugement du 17 décembre 1992, le Tribunal des baux et loyers souligne "l'absence d'indices d'abus allégués". En limitant son examen aux seuls motifs de hausse indiqués par la bailleresse dans la formule officielle qu'elle avait remise au locataire, la Chambre d'appel n'a donc pas méconnu les principes posés dans les arrêts précités. Dans sa jurisprudence la plus récente, le Tribunal fédéral a précisé que, si la méthode de calcul absolue peut être utilisée aussi bien dans le cas du loyer fixé conventionnellement (loyer initial) que dans celui d'une modification ou demande de modification unilatérale du contrat (majoration ou diminution du loyer), la méthode de calcul relative n'est applicable, en revanche, que dans la seconde hypothèse. Cette dernière méthode repose, en effet, sur les relations spéciales existant entre le bailleur et son locataire, lesquelles font logiquement défaut dans l'hypothèse où les parties nouent pour la première fois des liens contractuels ( ATF 120 II 240 consid. 2, p. 242/243; voir aussi les ATF 121 III 163 consid. 2d p. 165 et ATF 120 II 341 consid. 6a p. 350). La défenderesse est d'avis que la Chambre d'appel a ignoré cette jurisprudence en n'appliquant pas la méthode absolue pour juger de la validité du loyer contesté. Elle se trompe. Contrairement à son opinion, il ne s'agit pas en l'occurrence d'appliquer telle ou telle méthode, mais de savoir si un bailleur doit se laisser opposer les critères de calcul qu'il a indiqués dans la formule officielle. Or, la réponse ne peut être qu'affirmative sur le vu de la jurisprudence susmentionnée. Le nouveau locataire qui se voit notifier une formule officielle dans laquelle figurent le montant de l'ancien loyer et celui du loyer initial, ainsi que les motifs précis justifiant le passage de l'un à l'autre, peut admettre de bonne foi que ce sont ces motifs-là, et eux seuls, qui ont entraîné une augmentation de son loyer initial par rapport au précédent loyer. Sa bonne foi mérite d'être protégée. Partant, si les motifs indiqués par le bailleur n'ont trait qu'à des critères relatifs, tels que la hausse des coûts ( art. 269a let. b CO ) ou le renchérissement ( art. 269a let . e CO), le juge ne saurait examiner l'admissibilité du loyer initial à la lumière d'autres critères, en particulier des critères absolus institués par les art. 269 et 269a let. a et c CO, à moins que le locataire ne réclame, de son côté, un tel examen, lequel ne peut pas lui être refusé. Ainsi, dans une affaire récente portant sur un loyer initial, le Tribunal fédéral a renvoyé la BGE 121 III 364 S. 368 cause à la cour cantonale afin qu'elle examine "le ou les motifs de hausse contenus dans l'avis" notifié au moyen de la formule officielle et se prononce sur le caractère abusif ou non du loyer convenu entre les parties (consid. 2d, non publié, de l' ATF 121 III 56 ). En revanche, si le bailleur fait état, dans la formule officielle, du rendement insuffisant de la chose louée, pour justifier la fixation du loyer initial à un niveau supérieur à celui du loyer payé par l'ancien locataire, le contrôle de l'admissibilité du loyer initial devra être effectué à l'aide de la méthode absolue, dans laquelle les critères de calcul déterminants ne sont soumis à aucune limite relative (pour un cas d'application, cf. l' ATF 120 II 240 ). Il en ira de même dans les cantons qui n'ont pas rendu obligatoire l'usage de la formule officielle pour la conclusion de tout nouveau bail. c) En l'espèce, l'augmentation du loyer initial par rapport au précédent loyer n'a été motivée, sur la formule officielle, que par des facteurs de hausse relatifs, à savoir l'augmentation des charges d'exploitation, le renchérissement et des prestations supplémentaires de la bailleresse. Dans ces conditions, la cour cantonale a eu raison de restreindre son examen à ces trois facteurs. Elle s'est abstenue à bon droit de rechercher si le loyer en cause se situait dans les limites des loyers usuels du quartier, faute d'y avoir été invitée par le locataire.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